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215</w:t>
      </w:r>
    </w:p>
    <w:p>
      <w:r>
        <w:t>Bundesgericht (BGE), 2021-01-01, DE</w:t>
      </w:r>
    </w:p>
    <w:p>
      <w:r>
        <w:rPr>
          <w:b/>
        </w:rPr>
        <w:t xml:space="preserve">Quelle: </w:t>
      </w:r>
      <w:r>
        <w:t>https://mcp.opencaselaw.ch/entscheid/bge_147 III 215</w:t>
      </w:r>
    </w:p>
    <w:p>
      <w:r>
        <w:t>FR: ATF 147 III 215</w:t>
      </w:r>
    </w:p>
    <w:p>
      <w:r>
        <w:t>IT: DTF 147 III 215</w:t>
      </w:r>
    </w:p>
    <w:p>
      <w:pPr>
        <w:pStyle w:val="Heading2"/>
      </w:pPr>
      <w:r>
        <w:t>Regeste</w:t>
      </w:r>
    </w:p>
    <w:p>
      <w:r>
        <w:t>Regeste Art. 742 Abs. 1 ZGB; Fuss- und Fahrwegrecht; Eignung der neuen Ausübungsstelle. Zur Frage, ob in die Beurteilung der Eignung nach Art. 742 Abs. 1 ZGB auch die Beschränkung der Durchfahrtshöhe an der zur Verlegung vorgeschlagenen Stelle einbezogen werden kann (E. 4.5).</w:t>
      </w:r>
    </w:p>
    <w:p>
      <w:pPr>
        <w:pStyle w:val="Heading2"/>
      </w:pPr>
      <w:r>
        <w:t>Erwägungen</w:t>
      </w:r>
    </w:p>
    <w:p>
      <w:r>
        <w:rPr>
          <w:b/>
        </w:rPr>
        <w:t>E. 4</w:t>
      </w:r>
    </w:p>
    <w:p>
      <w:r>
        <w:t>(...)</w:t>
      </w:r>
    </w:p>
    <w:p>
      <w:r>
        <w:rPr>
          <w:b/>
        </w:rPr>
        <w:t>E. 4.5</w:t>
      </w:r>
    </w:p>
    <w:p>
      <w:r>
        <w:t>Zu prüfen bleibt, ob die eingeklagte Verlegung des Wegrechts wegen der streitigen Beschränkung der Durchfahrtshöhe auf 3.6 Meter für den Berechtigten im Sinne von Art. 742 Abs. 1 ZGB nicht weniger geeignet ist. Das Obergericht hegt Zweifel daran, dass diese "vertikale Dimension" der geforderten Verlegung des Wegrechts bei der Anwendung der zitierten Norm eine Rolle spielen kann. Diese Bedenken sind unbegründet. Ob sich die neue Stelle nicht weniger eignet als die alte, beurteilt sich anhand des Inhalts des durch die Grunddienstbarkeit eingeräumten Nutzungsrechts (JONAS MANGISCH, Die Verlegung von Grunddienstbarkeiten unter besonderer Berücksichtigung von Art. 742 ZGB , 2020, S. 137). Massgebend ist, ob die neue Ausübungsstelle in wirtschaftlicher Hinsicht gleichwertig ist und dem Berechtigten objektiv betrachtet den gleichen Nutzen, das BGE 147 III 215 S. 217 heisst die gleichen Vorteile und Annehmlichkeiten in der Ausübung bietet (CHARLES BESSON, La suppression et l'adaptation des servitudes par le juge, JdT 1969 I S. 279 f.). Die Rechtsprechung denkt unter dem Gesichtspunkt der Eignung der zur Verlegung vorgeschlagenen neuen Stelle keineswegs nur in zwei Dimensionen. So hat sich das Bundesgericht etwa gegen die Verlegung eines Wegrechts ausgesprochen, weil sich die mittlere Steigung der Zufahrt durch die Verlegung von 10 % auf 11.8 % erhöhte und die Steigung im Bereich der Einmündung in die vortrittsberechtigte Strasse sogar noch erheblich höher gewesen wäre, was beim Anfahren in rutschigen Verhältnissen zu erheblichen Schwierigkeiten hätte führen können (Urteil 5C.91/2004 vom 5. August 2004 E. 5.2.1). Gegen die Verlegung des Wegrechts sprach im zitierten Fall ausserdem der Umstand, dass die geplante gegenüber der aktuellen Zufahrt eine erheblich schlechtere Verkehrsübersicht bot (zit. Urteil 5C.91/2004 E. 5.2.3). In einem älteren Entscheid, wo die Verlegung eines Landungs- und Lagerplatzes am Ufer des Zugersees zur Beurteilung stand, schützte das Bundesgericht die Klage auf Verlegung der Dienstbarkeit unter anderem mit Rücksicht darauf, dass die neue Landungsstelle bis zur Tiefe der bisherigen ausgebaggert werde und die Sträucher am Ufer abgehauen werden, weshalb die Beschaffenheit des neuen Platzes gegenüber den bisherigen Anlagen keinerlei Nachteile aufweise ( BGE 57 II 155 E. 1b S. 158).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